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B9AD6">
      <w:pPr>
        <w:pStyle w:val="22"/>
        <w:tabs>
          <w:tab w:val="right" w:pos="9639"/>
        </w:tabs>
        <w:spacing w:after="0"/>
        <w:rPr>
          <w:b/>
          <w:i/>
          <w:sz w:val="28"/>
        </w:rPr>
      </w:pPr>
      <w:r>
        <w:rPr>
          <w:b/>
          <w:sz w:val="24"/>
        </w:rPr>
        <w:t>3GPP TSG SA5 Meeting #165</w:t>
      </w:r>
      <w:r>
        <w:rPr>
          <w:b/>
          <w:i/>
          <w:sz w:val="28"/>
        </w:rPr>
        <w:tab/>
      </w:r>
      <w:r>
        <w:rPr>
          <w:b/>
          <w:i/>
          <w:sz w:val="28"/>
        </w:rPr>
        <w:t>S5-</w:t>
      </w:r>
      <w:r>
        <w:rPr>
          <w:rFonts w:hint="eastAsia"/>
          <w:b/>
          <w:i/>
          <w:sz w:val="28"/>
        </w:rPr>
        <w:t>260350</w:t>
      </w:r>
    </w:p>
    <w:p w14:paraId="374EFAE3">
      <w:pPr>
        <w:pStyle w:val="11"/>
        <w:rPr>
          <w:rFonts w:ascii="Arial" w:hAnsi="Arial"/>
          <w:b/>
          <w:sz w:val="24"/>
        </w:rPr>
      </w:pPr>
      <w:r>
        <w:rPr>
          <w:rFonts w:ascii="Arial" w:hAnsi="Arial"/>
          <w:b/>
          <w:sz w:val="24"/>
        </w:rPr>
        <w:t>Goa, India, 9-13 February 2026</w:t>
      </w:r>
    </w:p>
    <w:p w14:paraId="42644057">
      <w:pPr>
        <w:pBdr>
          <w:bottom w:val="single" w:color="auto" w:sz="4" w:space="1"/>
        </w:pBdr>
        <w:tabs>
          <w:tab w:val="right" w:pos="9639"/>
        </w:tabs>
        <w:jc w:val="both"/>
        <w:outlineLvl w:val="0"/>
        <w:rPr>
          <w:rFonts w:ascii="Arial" w:hAnsi="Arial" w:eastAsia="Batang" w:cs="Arial"/>
          <w:b/>
          <w:sz w:val="24"/>
          <w:lang w:eastAsia="zh-CN"/>
        </w:rPr>
      </w:pPr>
    </w:p>
    <w:p w14:paraId="4038DCF5">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14:paraId="4CB4329E">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 Charging </w:t>
      </w:r>
      <w:r>
        <w:rPr>
          <w:rFonts w:hint="eastAsia" w:ascii="Arial" w:hAnsi="Arial" w:eastAsia="Batang" w:cs="Arial"/>
          <w:b/>
          <w:sz w:val="24"/>
          <w:szCs w:val="24"/>
          <w:lang w:val="en-US" w:eastAsia="zh-CN"/>
        </w:rPr>
        <w:t>enhancements of</w:t>
      </w:r>
      <w:r>
        <w:rPr>
          <w:rFonts w:hint="eastAsia" w:ascii="Arial" w:hAnsi="Arial" w:eastAsia="Batang" w:cs="Arial"/>
          <w:b/>
          <w:sz w:val="24"/>
          <w:szCs w:val="24"/>
          <w:lang w:eastAsia="zh-CN"/>
        </w:rPr>
        <w:t xml:space="preserve"> Ambient power-enabled Internet of Things</w:t>
      </w:r>
    </w:p>
    <w:p w14:paraId="7F1AF674">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8D3B606">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bookmarkStart w:id="0" w:name="_GoBack"/>
      <w:bookmarkEnd w:id="0"/>
    </w:p>
    <w:p w14:paraId="2DC7886B">
      <w:pPr>
        <w:rPr>
          <w:rFonts w:eastAsia="Batang"/>
          <w:lang w:val="en-US" w:eastAsia="zh-CN"/>
        </w:rPr>
      </w:pPr>
    </w:p>
    <w:p w14:paraId="167C64F6">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5AC7448A">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3927B40D">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Study on charging enhancements of Ambient power-enabled Internet of Things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00DEB1BF">
      <w:pPr>
        <w:pStyle w:val="24"/>
      </w:pPr>
    </w:p>
    <w:p w14:paraId="0BA3B214">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FS_AmbientIoT_CH</w:t>
      </w:r>
    </w:p>
    <w:p w14:paraId="2E1BE359">
      <w:pPr>
        <w:pStyle w:val="24"/>
      </w:pPr>
    </w:p>
    <w:p w14:paraId="7ABDE2D3">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7D3DC8A8">
      <w:pPr>
        <w:pStyle w:val="24"/>
      </w:pPr>
      <w:r>
        <w:t xml:space="preserve"> </w:t>
      </w:r>
    </w:p>
    <w:p w14:paraId="5D224DB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14:paraId="7DAA99CB">
      <w:pPr>
        <w:pStyle w:val="24"/>
      </w:pPr>
    </w:p>
    <w:p w14:paraId="29DF2B0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7D5853B7">
      <w:pPr>
        <w:pStyle w:val="24"/>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2350C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600F9D90">
            <w:pPr>
              <w:pStyle w:val="27"/>
            </w:pPr>
            <w:r>
              <w:t>Affects:</w:t>
            </w:r>
          </w:p>
        </w:tc>
        <w:tc>
          <w:tcPr>
            <w:tcW w:w="1275" w:type="dxa"/>
            <w:tcBorders>
              <w:left w:val="nil"/>
              <w:bottom w:val="single" w:color="auto" w:sz="12" w:space="0"/>
            </w:tcBorders>
            <w:shd w:val="clear" w:color="auto" w:fill="E0E0E0"/>
          </w:tcPr>
          <w:p w14:paraId="34D67119">
            <w:pPr>
              <w:pStyle w:val="27"/>
            </w:pPr>
            <w:r>
              <w:t>UICC apps</w:t>
            </w:r>
          </w:p>
        </w:tc>
        <w:tc>
          <w:tcPr>
            <w:tcW w:w="1037" w:type="dxa"/>
            <w:tcBorders>
              <w:bottom w:val="single" w:color="auto" w:sz="12" w:space="0"/>
            </w:tcBorders>
            <w:shd w:val="clear" w:color="auto" w:fill="E0E0E0"/>
          </w:tcPr>
          <w:p w14:paraId="148181C5">
            <w:pPr>
              <w:pStyle w:val="27"/>
            </w:pPr>
            <w:r>
              <w:t>ME</w:t>
            </w:r>
          </w:p>
        </w:tc>
        <w:tc>
          <w:tcPr>
            <w:tcW w:w="850" w:type="dxa"/>
            <w:tcBorders>
              <w:bottom w:val="single" w:color="auto" w:sz="12" w:space="0"/>
            </w:tcBorders>
            <w:shd w:val="clear" w:color="auto" w:fill="E0E0E0"/>
          </w:tcPr>
          <w:p w14:paraId="17CE53CA">
            <w:pPr>
              <w:pStyle w:val="27"/>
            </w:pPr>
            <w:r>
              <w:t>AN</w:t>
            </w:r>
          </w:p>
        </w:tc>
        <w:tc>
          <w:tcPr>
            <w:tcW w:w="851" w:type="dxa"/>
            <w:tcBorders>
              <w:bottom w:val="single" w:color="auto" w:sz="12" w:space="0"/>
            </w:tcBorders>
            <w:shd w:val="clear" w:color="auto" w:fill="E0E0E0"/>
          </w:tcPr>
          <w:p w14:paraId="43571F57">
            <w:pPr>
              <w:pStyle w:val="27"/>
            </w:pPr>
            <w:r>
              <w:t>CN</w:t>
            </w:r>
          </w:p>
        </w:tc>
        <w:tc>
          <w:tcPr>
            <w:tcW w:w="1752" w:type="dxa"/>
            <w:tcBorders>
              <w:bottom w:val="single" w:color="auto" w:sz="12" w:space="0"/>
            </w:tcBorders>
            <w:shd w:val="clear" w:color="auto" w:fill="E0E0E0"/>
          </w:tcPr>
          <w:p w14:paraId="0E7D2B7D">
            <w:pPr>
              <w:pStyle w:val="27"/>
            </w:pPr>
            <w:r>
              <w:t>Others (specify)</w:t>
            </w:r>
          </w:p>
        </w:tc>
      </w:tr>
      <w:tr w14:paraId="4FA005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286A5F0D">
            <w:pPr>
              <w:pStyle w:val="27"/>
            </w:pPr>
            <w:r>
              <w:t>Yes</w:t>
            </w:r>
          </w:p>
        </w:tc>
        <w:tc>
          <w:tcPr>
            <w:tcW w:w="1275" w:type="dxa"/>
            <w:tcBorders>
              <w:top w:val="nil"/>
              <w:left w:val="nil"/>
            </w:tcBorders>
          </w:tcPr>
          <w:p w14:paraId="4911EE8B">
            <w:pPr>
              <w:pStyle w:val="28"/>
            </w:pPr>
          </w:p>
        </w:tc>
        <w:tc>
          <w:tcPr>
            <w:tcW w:w="1037" w:type="dxa"/>
            <w:tcBorders>
              <w:top w:val="nil"/>
            </w:tcBorders>
          </w:tcPr>
          <w:p w14:paraId="2130C6DC">
            <w:pPr>
              <w:pStyle w:val="28"/>
            </w:pPr>
          </w:p>
        </w:tc>
        <w:tc>
          <w:tcPr>
            <w:tcW w:w="850" w:type="dxa"/>
            <w:tcBorders>
              <w:top w:val="nil"/>
            </w:tcBorders>
          </w:tcPr>
          <w:p w14:paraId="3219CBB2">
            <w:pPr>
              <w:pStyle w:val="28"/>
              <w:rPr>
                <w:rFonts w:eastAsia="宋体"/>
                <w:lang w:val="en-US" w:eastAsia="zh-CN"/>
              </w:rPr>
            </w:pPr>
            <w:r>
              <w:rPr>
                <w:rFonts w:hint="eastAsia" w:eastAsia="宋体"/>
                <w:lang w:val="en-US" w:eastAsia="zh-CN"/>
              </w:rPr>
              <w:t>X</w:t>
            </w:r>
          </w:p>
        </w:tc>
        <w:tc>
          <w:tcPr>
            <w:tcW w:w="851" w:type="dxa"/>
            <w:tcBorders>
              <w:top w:val="nil"/>
            </w:tcBorders>
          </w:tcPr>
          <w:p w14:paraId="14A9C0D9">
            <w:pPr>
              <w:pStyle w:val="28"/>
            </w:pPr>
          </w:p>
        </w:tc>
        <w:tc>
          <w:tcPr>
            <w:tcW w:w="1752" w:type="dxa"/>
            <w:tcBorders>
              <w:top w:val="nil"/>
            </w:tcBorders>
          </w:tcPr>
          <w:p w14:paraId="4D6B9F08">
            <w:pPr>
              <w:pStyle w:val="28"/>
            </w:pPr>
          </w:p>
        </w:tc>
      </w:tr>
      <w:tr w14:paraId="057509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516437D2">
            <w:pPr>
              <w:pStyle w:val="27"/>
            </w:pPr>
            <w:r>
              <w:t>No</w:t>
            </w:r>
          </w:p>
        </w:tc>
        <w:tc>
          <w:tcPr>
            <w:tcW w:w="1275" w:type="dxa"/>
            <w:tcBorders>
              <w:left w:val="nil"/>
            </w:tcBorders>
          </w:tcPr>
          <w:p w14:paraId="17CA4D29">
            <w:pPr>
              <w:pStyle w:val="28"/>
              <w:rPr>
                <w:rFonts w:eastAsia="宋体"/>
                <w:lang w:val="en-US" w:eastAsia="zh-CN"/>
              </w:rPr>
            </w:pPr>
            <w:r>
              <w:rPr>
                <w:rFonts w:hint="eastAsia" w:eastAsia="宋体"/>
                <w:lang w:val="en-US" w:eastAsia="zh-CN"/>
              </w:rPr>
              <w:t>X</w:t>
            </w:r>
          </w:p>
        </w:tc>
        <w:tc>
          <w:tcPr>
            <w:tcW w:w="1037" w:type="dxa"/>
          </w:tcPr>
          <w:p w14:paraId="1CBC40F7">
            <w:pPr>
              <w:pStyle w:val="28"/>
              <w:rPr>
                <w:rFonts w:eastAsia="宋体"/>
                <w:lang w:val="en-US" w:eastAsia="zh-CN"/>
              </w:rPr>
            </w:pPr>
            <w:r>
              <w:rPr>
                <w:rFonts w:hint="eastAsia" w:eastAsia="宋体"/>
                <w:lang w:val="en-US" w:eastAsia="zh-CN"/>
              </w:rPr>
              <w:t>X</w:t>
            </w:r>
          </w:p>
        </w:tc>
        <w:tc>
          <w:tcPr>
            <w:tcW w:w="850" w:type="dxa"/>
          </w:tcPr>
          <w:p w14:paraId="18B71474">
            <w:pPr>
              <w:pStyle w:val="28"/>
            </w:pPr>
          </w:p>
        </w:tc>
        <w:tc>
          <w:tcPr>
            <w:tcW w:w="851" w:type="dxa"/>
          </w:tcPr>
          <w:p w14:paraId="6DDD176E">
            <w:pPr>
              <w:pStyle w:val="28"/>
              <w:rPr>
                <w:rFonts w:eastAsia="宋体"/>
                <w:lang w:val="en-US" w:eastAsia="zh-CN"/>
              </w:rPr>
            </w:pPr>
            <w:r>
              <w:rPr>
                <w:rFonts w:hint="eastAsia" w:eastAsia="宋体"/>
                <w:lang w:val="en-US" w:eastAsia="zh-CN"/>
              </w:rPr>
              <w:t>X</w:t>
            </w:r>
          </w:p>
        </w:tc>
        <w:tc>
          <w:tcPr>
            <w:tcW w:w="1752" w:type="dxa"/>
          </w:tcPr>
          <w:p w14:paraId="2FF5D164">
            <w:pPr>
              <w:pStyle w:val="28"/>
              <w:rPr>
                <w:rFonts w:eastAsia="宋体"/>
                <w:lang w:val="en-US" w:eastAsia="zh-CN"/>
              </w:rPr>
            </w:pPr>
            <w:r>
              <w:rPr>
                <w:rFonts w:hint="eastAsia" w:eastAsia="宋体"/>
                <w:lang w:val="en-US" w:eastAsia="zh-CN"/>
              </w:rPr>
              <w:t>X</w:t>
            </w:r>
          </w:p>
        </w:tc>
      </w:tr>
      <w:tr w14:paraId="4DC4C5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1CEB845D">
            <w:pPr>
              <w:pStyle w:val="27"/>
            </w:pPr>
            <w:r>
              <w:t>Don't know</w:t>
            </w:r>
          </w:p>
        </w:tc>
        <w:tc>
          <w:tcPr>
            <w:tcW w:w="1275" w:type="dxa"/>
            <w:tcBorders>
              <w:left w:val="nil"/>
            </w:tcBorders>
          </w:tcPr>
          <w:p w14:paraId="183B0167">
            <w:pPr>
              <w:pStyle w:val="28"/>
            </w:pPr>
          </w:p>
        </w:tc>
        <w:tc>
          <w:tcPr>
            <w:tcW w:w="1037" w:type="dxa"/>
          </w:tcPr>
          <w:p w14:paraId="42B94FA4">
            <w:pPr>
              <w:pStyle w:val="28"/>
            </w:pPr>
          </w:p>
        </w:tc>
        <w:tc>
          <w:tcPr>
            <w:tcW w:w="850" w:type="dxa"/>
          </w:tcPr>
          <w:p w14:paraId="4B60CD42">
            <w:pPr>
              <w:pStyle w:val="28"/>
            </w:pPr>
          </w:p>
        </w:tc>
        <w:tc>
          <w:tcPr>
            <w:tcW w:w="851" w:type="dxa"/>
          </w:tcPr>
          <w:p w14:paraId="25CC9D67">
            <w:pPr>
              <w:pStyle w:val="28"/>
            </w:pPr>
          </w:p>
        </w:tc>
        <w:tc>
          <w:tcPr>
            <w:tcW w:w="1752" w:type="dxa"/>
          </w:tcPr>
          <w:p w14:paraId="68B7B7E2">
            <w:pPr>
              <w:pStyle w:val="28"/>
            </w:pPr>
          </w:p>
        </w:tc>
      </w:tr>
    </w:tbl>
    <w:p w14:paraId="5494C186"/>
    <w:p w14:paraId="4E4DEB4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58BCE035">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7EEDFF9A">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417B65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452" w:type="dxa"/>
          </w:tcPr>
          <w:p w14:paraId="32300638">
            <w:pPr>
              <w:pStyle w:val="28"/>
              <w:rPr>
                <w:rFonts w:hint="default" w:eastAsia="宋体"/>
                <w:lang w:val="en-US" w:eastAsia="zh-CN"/>
              </w:rPr>
            </w:pPr>
            <w:r>
              <w:rPr>
                <w:rFonts w:hint="eastAsia" w:eastAsia="宋体"/>
                <w:lang w:val="en-US" w:eastAsia="zh-CN"/>
              </w:rPr>
              <w:t>X</w:t>
            </w:r>
          </w:p>
        </w:tc>
        <w:tc>
          <w:tcPr>
            <w:tcW w:w="2917" w:type="dxa"/>
            <w:shd w:val="clear" w:color="auto" w:fill="E0E0E0"/>
          </w:tcPr>
          <w:p w14:paraId="64465836">
            <w:pPr>
              <w:pStyle w:val="27"/>
              <w:ind w:right="-99"/>
              <w:jc w:val="left"/>
              <w:rPr>
                <w:b w:val="0"/>
                <w:bCs/>
                <w:color w:val="0000FF"/>
              </w:rPr>
            </w:pPr>
            <w:r>
              <w:rPr>
                <w:b w:val="0"/>
                <w:bCs/>
                <w:color w:val="0000FF"/>
                <w:sz w:val="20"/>
              </w:rPr>
              <w:t xml:space="preserve">Study </w:t>
            </w:r>
          </w:p>
        </w:tc>
      </w:tr>
      <w:tr w14:paraId="708B85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323C08D">
            <w:pPr>
              <w:pStyle w:val="28"/>
              <w:rPr>
                <w:rFonts w:hint="default" w:eastAsia="宋体"/>
                <w:lang w:val="en-US" w:eastAsia="zh-CN"/>
              </w:rPr>
            </w:pPr>
          </w:p>
        </w:tc>
        <w:tc>
          <w:tcPr>
            <w:tcW w:w="2917" w:type="dxa"/>
            <w:shd w:val="clear" w:color="auto" w:fill="E0E0E0"/>
          </w:tcPr>
          <w:p w14:paraId="2F09C193">
            <w:pPr>
              <w:pStyle w:val="27"/>
              <w:ind w:right="-99"/>
              <w:jc w:val="left"/>
              <w:rPr>
                <w:b w:val="0"/>
                <w:bCs/>
                <w:color w:val="auto"/>
              </w:rPr>
            </w:pPr>
            <w:r>
              <w:rPr>
                <w:b w:val="0"/>
                <w:bCs/>
                <w:color w:val="auto"/>
                <w:sz w:val="20"/>
              </w:rPr>
              <w:t>Normative – Stage 1</w:t>
            </w:r>
          </w:p>
        </w:tc>
      </w:tr>
      <w:tr w14:paraId="60FCEA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7431174">
            <w:pPr>
              <w:pStyle w:val="28"/>
              <w:rPr>
                <w:rFonts w:hint="eastAsia" w:eastAsia="宋体"/>
                <w:lang w:val="en-US" w:eastAsia="zh-CN"/>
              </w:rPr>
            </w:pPr>
          </w:p>
        </w:tc>
        <w:tc>
          <w:tcPr>
            <w:tcW w:w="2917" w:type="dxa"/>
            <w:shd w:val="clear" w:color="auto" w:fill="E0E0E0"/>
          </w:tcPr>
          <w:p w14:paraId="2C823A26">
            <w:pPr>
              <w:pStyle w:val="27"/>
              <w:ind w:right="-99"/>
              <w:jc w:val="left"/>
              <w:rPr>
                <w:b w:val="0"/>
                <w:bCs/>
                <w:color w:val="auto"/>
              </w:rPr>
            </w:pPr>
            <w:r>
              <w:rPr>
                <w:b w:val="0"/>
                <w:bCs/>
                <w:color w:val="auto"/>
                <w:sz w:val="20"/>
              </w:rPr>
              <w:t>Normative – Stage 2</w:t>
            </w:r>
          </w:p>
        </w:tc>
      </w:tr>
      <w:tr w14:paraId="7A8E3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4E0D2C5">
            <w:pPr>
              <w:pStyle w:val="28"/>
              <w:rPr>
                <w:rFonts w:hint="eastAsia" w:eastAsia="宋体"/>
                <w:lang w:val="en-US" w:eastAsia="zh-CN"/>
              </w:rPr>
            </w:pPr>
          </w:p>
        </w:tc>
        <w:tc>
          <w:tcPr>
            <w:tcW w:w="2917" w:type="dxa"/>
            <w:shd w:val="clear" w:color="auto" w:fill="E0E0E0"/>
          </w:tcPr>
          <w:p w14:paraId="0341155C">
            <w:pPr>
              <w:pStyle w:val="27"/>
              <w:ind w:right="-99"/>
              <w:jc w:val="left"/>
              <w:rPr>
                <w:b w:val="0"/>
                <w:bCs/>
                <w:color w:val="auto"/>
              </w:rPr>
            </w:pPr>
            <w:r>
              <w:rPr>
                <w:b w:val="0"/>
                <w:bCs/>
                <w:color w:val="auto"/>
                <w:sz w:val="20"/>
              </w:rPr>
              <w:t>Normative – Stage 3</w:t>
            </w:r>
          </w:p>
        </w:tc>
      </w:tr>
      <w:tr w14:paraId="2B834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B2B491B">
            <w:pPr>
              <w:pStyle w:val="28"/>
            </w:pPr>
          </w:p>
        </w:tc>
        <w:tc>
          <w:tcPr>
            <w:tcW w:w="2917" w:type="dxa"/>
            <w:shd w:val="clear" w:color="auto" w:fill="E0E0E0"/>
          </w:tcPr>
          <w:p w14:paraId="4003F819">
            <w:pPr>
              <w:pStyle w:val="27"/>
              <w:ind w:right="-99"/>
              <w:jc w:val="left"/>
              <w:rPr>
                <w:b w:val="0"/>
                <w:bCs/>
                <w:color w:val="auto"/>
              </w:rPr>
            </w:pPr>
            <w:r>
              <w:rPr>
                <w:b w:val="0"/>
                <w:bCs/>
                <w:color w:val="auto"/>
                <w:sz w:val="20"/>
              </w:rPr>
              <w:t>Normative – Other*</w:t>
            </w:r>
          </w:p>
        </w:tc>
      </w:tr>
    </w:tbl>
    <w:p w14:paraId="58222F41">
      <w:pPr>
        <w:ind w:right="-99"/>
        <w:rPr>
          <w:b/>
        </w:rPr>
      </w:pPr>
      <w:r>
        <w:rPr>
          <w:b/>
        </w:rPr>
        <w:t>* Other = e.g. testing</w:t>
      </w:r>
    </w:p>
    <w:p w14:paraId="719FA5FC">
      <w:pPr>
        <w:ind w:right="-99"/>
        <w:rPr>
          <w:b/>
        </w:rPr>
      </w:pPr>
    </w:p>
    <w:p w14:paraId="285A12CD">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r>
        <w:t xml:space="preserve"> </w:t>
      </w:r>
    </w:p>
    <w:p w14:paraId="530B3DA1">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2B12A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5083A18B">
            <w:pPr>
              <w:pStyle w:val="27"/>
              <w:ind w:right="-99"/>
              <w:jc w:val="left"/>
            </w:pPr>
            <w:r>
              <w:t xml:space="preserve">Parent Work / Study Items </w:t>
            </w:r>
          </w:p>
        </w:tc>
      </w:tr>
      <w:tr w14:paraId="0C357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0510FA25">
            <w:pPr>
              <w:pStyle w:val="27"/>
              <w:ind w:right="-99"/>
              <w:jc w:val="left"/>
            </w:pPr>
            <w:r>
              <w:t>Acronym</w:t>
            </w:r>
          </w:p>
        </w:tc>
        <w:tc>
          <w:tcPr>
            <w:tcW w:w="1101" w:type="dxa"/>
            <w:shd w:val="clear" w:color="auto" w:fill="E0E0E0"/>
          </w:tcPr>
          <w:p w14:paraId="3350EBB5">
            <w:pPr>
              <w:pStyle w:val="27"/>
              <w:ind w:right="-99"/>
              <w:jc w:val="left"/>
            </w:pPr>
            <w:r>
              <w:t>Working Group</w:t>
            </w:r>
          </w:p>
        </w:tc>
        <w:tc>
          <w:tcPr>
            <w:tcW w:w="1101" w:type="dxa"/>
            <w:shd w:val="clear" w:color="auto" w:fill="E0E0E0"/>
          </w:tcPr>
          <w:p w14:paraId="44747123">
            <w:pPr>
              <w:pStyle w:val="27"/>
              <w:ind w:right="-99"/>
              <w:jc w:val="left"/>
            </w:pPr>
            <w:r>
              <w:t>Unique ID</w:t>
            </w:r>
          </w:p>
        </w:tc>
        <w:tc>
          <w:tcPr>
            <w:tcW w:w="6010" w:type="dxa"/>
            <w:shd w:val="clear" w:color="auto" w:fill="E0E0E0"/>
          </w:tcPr>
          <w:p w14:paraId="10450CF8">
            <w:pPr>
              <w:pStyle w:val="27"/>
              <w:ind w:right="-99"/>
              <w:jc w:val="left"/>
            </w:pPr>
            <w:r>
              <w:t>Title (as in 3GPP Work Plan)</w:t>
            </w:r>
          </w:p>
        </w:tc>
      </w:tr>
      <w:tr w14:paraId="447CA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0BEE024">
            <w:pPr>
              <w:pStyle w:val="26"/>
              <w:rPr>
                <w:rFonts w:hint="default" w:eastAsia="宋体"/>
                <w:lang w:val="en-US" w:eastAsia="zh-CN"/>
              </w:rPr>
            </w:pPr>
            <w:r>
              <w:rPr>
                <w:rFonts w:hint="eastAsia" w:eastAsia="宋体"/>
                <w:lang w:val="en-US" w:eastAsia="zh-CN"/>
              </w:rPr>
              <w:t>N/A</w:t>
            </w:r>
          </w:p>
        </w:tc>
        <w:tc>
          <w:tcPr>
            <w:tcW w:w="1101" w:type="dxa"/>
          </w:tcPr>
          <w:p w14:paraId="0D576A64">
            <w:pPr>
              <w:pStyle w:val="26"/>
            </w:pPr>
            <w:r>
              <w:rPr>
                <w:rFonts w:hint="eastAsia" w:eastAsia="宋体"/>
                <w:lang w:val="en-US" w:eastAsia="zh-CN"/>
              </w:rPr>
              <w:t>N/A</w:t>
            </w:r>
          </w:p>
        </w:tc>
        <w:tc>
          <w:tcPr>
            <w:tcW w:w="1101" w:type="dxa"/>
          </w:tcPr>
          <w:p w14:paraId="46D407C6">
            <w:pPr>
              <w:pStyle w:val="26"/>
            </w:pPr>
            <w:r>
              <w:rPr>
                <w:rFonts w:hint="eastAsia" w:eastAsia="宋体"/>
                <w:lang w:val="en-US" w:eastAsia="zh-CN"/>
              </w:rPr>
              <w:t>N/A</w:t>
            </w:r>
          </w:p>
        </w:tc>
        <w:tc>
          <w:tcPr>
            <w:tcW w:w="6010" w:type="dxa"/>
          </w:tcPr>
          <w:p w14:paraId="24B3B077">
            <w:pPr>
              <w:pStyle w:val="26"/>
            </w:pPr>
            <w:r>
              <w:rPr>
                <w:rFonts w:hint="eastAsia" w:eastAsia="宋体"/>
                <w:lang w:val="en-US" w:eastAsia="zh-CN"/>
              </w:rPr>
              <w:t>N/A</w:t>
            </w:r>
          </w:p>
        </w:tc>
      </w:tr>
    </w:tbl>
    <w:p w14:paraId="725E9A96"/>
    <w:p w14:paraId="2EA231F8">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0A297D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F14EF5C">
            <w:pPr>
              <w:pStyle w:val="27"/>
            </w:pPr>
            <w:r>
              <w:t>Other related Work /Study Items (if any)</w:t>
            </w:r>
          </w:p>
        </w:tc>
      </w:tr>
      <w:tr w14:paraId="6F51E6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EA68E1F">
            <w:pPr>
              <w:pStyle w:val="27"/>
            </w:pPr>
            <w:r>
              <w:t>Unique ID</w:t>
            </w:r>
          </w:p>
        </w:tc>
        <w:tc>
          <w:tcPr>
            <w:tcW w:w="3326" w:type="dxa"/>
            <w:shd w:val="clear" w:color="auto" w:fill="E0E0E0"/>
          </w:tcPr>
          <w:p w14:paraId="1C283965">
            <w:pPr>
              <w:pStyle w:val="27"/>
            </w:pPr>
            <w:r>
              <w:t>Title</w:t>
            </w:r>
          </w:p>
        </w:tc>
        <w:tc>
          <w:tcPr>
            <w:tcW w:w="5099" w:type="dxa"/>
            <w:shd w:val="clear" w:color="auto" w:fill="E0E0E0"/>
          </w:tcPr>
          <w:p w14:paraId="6A8C5619">
            <w:pPr>
              <w:pStyle w:val="27"/>
            </w:pPr>
            <w:r>
              <w:t>Nature of relationship</w:t>
            </w:r>
          </w:p>
        </w:tc>
      </w:tr>
      <w:tr w14:paraId="0A4047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5EB4392A">
            <w:pPr>
              <w:pStyle w:val="26"/>
            </w:pPr>
            <w:r>
              <w:t>1020030</w:t>
            </w:r>
          </w:p>
        </w:tc>
        <w:tc>
          <w:tcPr>
            <w:tcW w:w="3326" w:type="dxa"/>
          </w:tcPr>
          <w:p w14:paraId="3A641B4A">
            <w:pPr>
              <w:pStyle w:val="26"/>
            </w:pPr>
            <w:r>
              <w:t>Stage 1 of Ambient power-enabled Internet of Things</w:t>
            </w:r>
          </w:p>
        </w:tc>
        <w:tc>
          <w:tcPr>
            <w:tcW w:w="5099" w:type="dxa"/>
          </w:tcPr>
          <w:p w14:paraId="22647B8C">
            <w:pPr>
              <w:pStyle w:val="26"/>
            </w:pPr>
            <w:r>
              <w:t>The Rel-19 normative work (SA1) on the stage 1 service requirement of Ambient IoT</w:t>
            </w:r>
          </w:p>
        </w:tc>
      </w:tr>
      <w:tr w14:paraId="0DF2C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2CC7A5D">
            <w:pPr>
              <w:pStyle w:val="26"/>
              <w:rPr>
                <w:rFonts w:hint="eastAsia"/>
              </w:rPr>
            </w:pPr>
            <w:r>
              <w:rPr>
                <w:rFonts w:hint="eastAsia"/>
              </w:rPr>
              <w:t>1070010</w:t>
            </w:r>
          </w:p>
        </w:tc>
        <w:tc>
          <w:tcPr>
            <w:tcW w:w="3326" w:type="dxa"/>
            <w:vAlign w:val="top"/>
          </w:tcPr>
          <w:p w14:paraId="69228721">
            <w:pPr>
              <w:pStyle w:val="26"/>
              <w:rPr>
                <w:rFonts w:hint="eastAsia" w:ascii="Arial" w:hAnsi="Arial" w:eastAsia="Times New Roman" w:cs="Times New Roman"/>
                <w:color w:val="000000"/>
                <w:sz w:val="18"/>
                <w:lang w:val="en-GB" w:eastAsia="ja-JP" w:bidi="ar-SA"/>
              </w:rPr>
            </w:pPr>
            <w:r>
              <w:t>Architecture support of Ambient power-enabled Internet of Things</w:t>
            </w:r>
          </w:p>
        </w:tc>
        <w:tc>
          <w:tcPr>
            <w:tcW w:w="5099" w:type="dxa"/>
          </w:tcPr>
          <w:p w14:paraId="1473B30F">
            <w:pPr>
              <w:pStyle w:val="26"/>
              <w:rPr>
                <w:rFonts w:hint="default" w:eastAsia="宋体"/>
                <w:lang w:val="en-US" w:eastAsia="zh-CN"/>
              </w:rPr>
            </w:pPr>
            <w:r>
              <w:rPr>
                <w:rFonts w:hint="eastAsia" w:eastAsia="宋体"/>
                <w:lang w:val="en-US" w:eastAsia="zh-CN"/>
              </w:rPr>
              <w:t>The SA2 Rel-19 work item on stage 2 architecture support of ambient power-enabled IoT</w:t>
            </w:r>
          </w:p>
        </w:tc>
      </w:tr>
      <w:tr w14:paraId="23ADA3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70CB052">
            <w:pPr>
              <w:pStyle w:val="26"/>
            </w:pPr>
            <w:r>
              <w:rPr>
                <w:rFonts w:hint="eastAsia"/>
              </w:rPr>
              <w:t>1080063</w:t>
            </w:r>
          </w:p>
        </w:tc>
        <w:tc>
          <w:tcPr>
            <w:tcW w:w="3326" w:type="dxa"/>
          </w:tcPr>
          <w:p w14:paraId="38C4A494">
            <w:pPr>
              <w:pStyle w:val="26"/>
            </w:pPr>
            <w:r>
              <w:rPr>
                <w:rFonts w:hint="eastAsia"/>
              </w:rPr>
              <w:t>Study on Architecture support of AmbientIoT - Phase 2</w:t>
            </w:r>
          </w:p>
        </w:tc>
        <w:tc>
          <w:tcPr>
            <w:tcW w:w="5099" w:type="dxa"/>
          </w:tcPr>
          <w:p w14:paraId="3464D635">
            <w:pPr>
              <w:pStyle w:val="26"/>
              <w:rPr>
                <w:rFonts w:hint="default" w:eastAsia="宋体"/>
                <w:lang w:val="en-US" w:eastAsia="zh-CN"/>
              </w:rPr>
            </w:pPr>
            <w:r>
              <w:rPr>
                <w:rFonts w:hint="eastAsia" w:eastAsia="宋体"/>
                <w:lang w:val="en-US" w:eastAsia="zh-CN"/>
              </w:rPr>
              <w:t>The SA2 Rel-20 study item on stage 2 architecture support of ambient power-enabled IoT phase 2</w:t>
            </w:r>
          </w:p>
        </w:tc>
      </w:tr>
    </w:tbl>
    <w:p w14:paraId="034EB77D">
      <w:pPr>
        <w:pStyle w:val="29"/>
      </w:pPr>
    </w:p>
    <w:p w14:paraId="6211163E">
      <w:pPr>
        <w:rPr>
          <w:rFonts w:hint="default" w:eastAsia="宋体"/>
          <w:b/>
          <w:bCs/>
          <w:lang w:val="en-US" w:eastAsia="zh-CN"/>
        </w:rPr>
      </w:pPr>
      <w:r>
        <w:rPr>
          <w:b/>
          <w:bCs/>
        </w:rPr>
        <w:t>Dependency on non-3GPP (draft) specification:</w:t>
      </w:r>
      <w:r>
        <w:rPr>
          <w:rFonts w:hint="eastAsia" w:eastAsia="宋体"/>
          <w:b/>
          <w:bCs/>
          <w:lang w:val="en-US" w:eastAsia="zh-CN"/>
        </w:rPr>
        <w:t xml:space="preserve"> </w:t>
      </w:r>
      <w:r>
        <w:rPr>
          <w:rFonts w:hint="eastAsia" w:eastAsia="宋体"/>
          <w:b w:val="0"/>
          <w:bCs w:val="0"/>
          <w:lang w:val="en-US" w:eastAsia="zh-CN"/>
        </w:rPr>
        <w:t>None</w:t>
      </w:r>
    </w:p>
    <w:p w14:paraId="13DD816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A269A6F">
      <w:pPr>
        <w:rPr>
          <w:rFonts w:hint="eastAsia"/>
          <w:color w:val="000000"/>
          <w:lang w:val="en-US" w:eastAsia="zh-CN"/>
        </w:rPr>
      </w:pPr>
      <w:r>
        <w:rPr>
          <w:rFonts w:hint="eastAsia"/>
          <w:color w:val="000000"/>
          <w:lang w:val="en-US" w:eastAsia="zh-CN"/>
        </w:rPr>
        <w:t>Ambient power-enabled Internet of Things (Ambient IoT) is a new category of 3GPP IoT technology that operates using harvested ambient energy—such as radio waves, light, or motion—and operates either without a battery or with minimal energy storage, such as a capacitor. By integrating Ambient IoT with cellular networks, operators can offer Ambient IoT services (e.g., inventory management) to third-party applications, particularly for vertical industries like smart manufacturing, logistics, and warehousing.</w:t>
      </w:r>
    </w:p>
    <w:p w14:paraId="7D3DE127">
      <w:pPr>
        <w:rPr>
          <w:rFonts w:hint="eastAsia"/>
          <w:color w:val="000000"/>
          <w:lang w:val="en-US" w:eastAsia="zh-CN"/>
        </w:rPr>
      </w:pPr>
    </w:p>
    <w:p w14:paraId="40DC2D4E">
      <w:pPr>
        <w:rPr>
          <w:rFonts w:hint="eastAsia"/>
          <w:color w:val="000000"/>
          <w:lang w:val="en-US" w:eastAsia="zh-CN"/>
        </w:rPr>
      </w:pPr>
      <w:r>
        <w:rPr>
          <w:rFonts w:hint="eastAsia"/>
          <w:color w:val="000000"/>
          <w:lang w:val="en-US" w:eastAsia="zh-CN"/>
        </w:rPr>
        <w:t>As described in TS 22.369 clause 4.3, there are four typical use cases for Ambient IoT services, including:</w:t>
      </w:r>
    </w:p>
    <w:p w14:paraId="1D15A9A3">
      <w:pPr>
        <w:rPr>
          <w:rFonts w:hint="eastAsia"/>
          <w:i w:val="0"/>
          <w:iCs w:val="0"/>
          <w:color w:val="000000"/>
          <w:lang w:val="en-US" w:eastAsia="zh-CN"/>
        </w:rPr>
      </w:pPr>
      <w:r>
        <w:rPr>
          <w:rFonts w:hint="eastAsia"/>
          <w:i w:val="0"/>
          <w:iCs w:val="0"/>
          <w:color w:val="000000"/>
          <w:lang w:val="en-US" w:eastAsia="zh-CN"/>
        </w:rPr>
        <w:t xml:space="preserve">-Inventory taking. With inventory taking, the main purpose is to discover what goods are present in a specific area. </w:t>
      </w:r>
    </w:p>
    <w:p w14:paraId="2C25465E">
      <w:pPr>
        <w:rPr>
          <w:rFonts w:hint="eastAsia"/>
          <w:i w:val="0"/>
          <w:iCs w:val="0"/>
          <w:color w:val="000000"/>
          <w:lang w:val="en-US" w:eastAsia="zh-CN"/>
        </w:rPr>
      </w:pPr>
      <w:r>
        <w:rPr>
          <w:rFonts w:hint="eastAsia"/>
          <w:i w:val="0"/>
          <w:iCs w:val="0"/>
          <w:color w:val="000000"/>
          <w:lang w:val="en-US" w:eastAsia="zh-CN"/>
        </w:rPr>
        <w:t>-Sensor data collection. With sensor data collection, the Ambient IoT device is associated with a sensor. Transfer of sensor data can be initiated by the Ambient IoT device.</w:t>
      </w:r>
    </w:p>
    <w:p w14:paraId="49B0ACC8">
      <w:pPr>
        <w:rPr>
          <w:rFonts w:hint="eastAsia"/>
          <w:i w:val="0"/>
          <w:iCs w:val="0"/>
          <w:color w:val="000000"/>
          <w:lang w:val="en-US" w:eastAsia="zh-CN"/>
        </w:rPr>
      </w:pPr>
      <w:r>
        <w:rPr>
          <w:rFonts w:hint="eastAsia"/>
          <w:i w:val="0"/>
          <w:iCs w:val="0"/>
          <w:color w:val="000000"/>
          <w:lang w:val="en-US" w:eastAsia="zh-CN"/>
        </w:rPr>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 thus finding the location of Ambient IoT devices within a particular range of the UE.</w:t>
      </w:r>
    </w:p>
    <w:p w14:paraId="596F5E20">
      <w:pPr>
        <w:rPr>
          <w:rFonts w:hint="eastAsia"/>
          <w:i w:val="0"/>
          <w:iCs w:val="0"/>
          <w:color w:val="000000"/>
          <w:lang w:val="en-US" w:eastAsia="zh-CN"/>
        </w:rPr>
      </w:pPr>
      <w:r>
        <w:rPr>
          <w:rFonts w:hint="eastAsia"/>
          <w:i w:val="0"/>
          <w:iCs w:val="0"/>
          <w:color w:val="000000"/>
          <w:lang w:val="en-US" w:eastAsia="zh-CN"/>
        </w:rPr>
        <w:t>-Actuator control. With actuator control, the Ambient IoT device is associated with an actuator. Transfer of actuator commands is generally initiated by the network.</w:t>
      </w:r>
    </w:p>
    <w:p w14:paraId="0C18239B">
      <w:pPr>
        <w:rPr>
          <w:rFonts w:hint="eastAsia"/>
          <w:color w:val="000000"/>
          <w:lang w:val="en-US" w:eastAsia="zh-CN"/>
        </w:rPr>
      </w:pPr>
    </w:p>
    <w:p w14:paraId="331A4553">
      <w:pPr>
        <w:rPr>
          <w:rFonts w:hint="eastAsia"/>
          <w:color w:val="000000"/>
          <w:lang w:val="en-US" w:eastAsia="zh-CN"/>
        </w:rPr>
      </w:pPr>
      <w:r>
        <w:rPr>
          <w:rFonts w:hint="eastAsia"/>
          <w:color w:val="000000"/>
          <w:lang w:val="en-US" w:eastAsia="zh-CN"/>
        </w:rPr>
        <w:t>Based on such use cases, SA1 has defined charging requirements for Ambient IoT services in TS 22.369 clause 5.2.5: “</w:t>
      </w:r>
      <w:r>
        <w:rPr>
          <w:rFonts w:eastAsia="宋体"/>
          <w:lang w:eastAsia="zh-CN"/>
        </w:rPr>
        <w:t xml:space="preserve">The 5G system shall be able to collect charging information in a suitable way for using Ambient IoT services on per Ambient IoT device basis or </w:t>
      </w:r>
      <w:r>
        <w:t>a group of Ambient IoT devices</w:t>
      </w:r>
      <w:r>
        <w:rPr>
          <w:rFonts w:eastAsia="宋体"/>
          <w:lang w:eastAsia="zh-CN"/>
        </w:rPr>
        <w:t xml:space="preserve"> (e.g., </w:t>
      </w:r>
      <w:r>
        <w:rPr>
          <w:lang w:val="en-US" w:eastAsia="zh-CN"/>
        </w:rPr>
        <w:t>total number of communications per charging period</w:t>
      </w:r>
      <w:r>
        <w:rPr>
          <w:rFonts w:eastAsia="宋体"/>
          <w:lang w:eastAsia="zh-CN"/>
        </w:rPr>
        <w:t>)</w:t>
      </w:r>
      <w:r>
        <w:rPr>
          <w:rFonts w:hint="eastAsia"/>
          <w:color w:val="000000"/>
          <w:lang w:val="en-US" w:eastAsia="zh-CN"/>
        </w:rPr>
        <w:t>.”</w:t>
      </w:r>
    </w:p>
    <w:p w14:paraId="7E49DEE3">
      <w:pPr>
        <w:rPr>
          <w:rFonts w:hint="eastAsia"/>
          <w:color w:val="000000"/>
          <w:lang w:val="en-US" w:eastAsia="zh-CN"/>
        </w:rPr>
      </w:pPr>
    </w:p>
    <w:p w14:paraId="1949B5CC">
      <w:pPr>
        <w:rPr>
          <w:rFonts w:hint="default"/>
          <w:color w:val="000000"/>
          <w:highlight w:val="none"/>
          <w:lang w:val="en-US" w:eastAsia="zh-CN"/>
        </w:rPr>
      </w:pPr>
      <w:r>
        <w:rPr>
          <w:rFonts w:hint="eastAsia"/>
          <w:color w:val="000000"/>
          <w:highlight w:val="none"/>
          <w:lang w:val="en-US" w:eastAsia="zh-CN"/>
        </w:rPr>
        <w:t>In SA2, study work in Rel-20 includes supporting new devices and scenarios, such as sensor data report based on DO-A type of communication, in addition to aspects which were studied or concluded on in Rel-19 Ambient IoT study, which were not included in normative work.</w:t>
      </w:r>
    </w:p>
    <w:p w14:paraId="74160C81">
      <w:pPr>
        <w:rPr>
          <w:rFonts w:hint="eastAsia"/>
          <w:color w:val="000000"/>
          <w:lang w:val="en-US" w:eastAsia="zh-CN"/>
        </w:rPr>
      </w:pPr>
    </w:p>
    <w:p w14:paraId="3ED4C372">
      <w:pPr>
        <w:rPr>
          <w:rFonts w:hint="eastAsia"/>
          <w:color w:val="000000"/>
          <w:lang w:val="en-US" w:eastAsia="zh-CN"/>
        </w:rPr>
      </w:pPr>
      <w:r>
        <w:rPr>
          <w:rFonts w:hint="eastAsia"/>
          <w:color w:val="000000"/>
          <w:lang w:val="en-US" w:eastAsia="zh-CN"/>
        </w:rPr>
        <w:t>In SA5, charging for Ambient IoT services in Release-19 is based on the exposure function northbound API charging framework specified in TS 32.254. The charging system has been enhanced to support charging per API invocation. Release-19 provides only minimal viable charging support for Ambient IoT services, with further enhancements expected to be studied in alignment with SA2 system architecture and service developments.</w:t>
      </w:r>
    </w:p>
    <w:p w14:paraId="21ACC123">
      <w:pPr>
        <w:rPr>
          <w:rFonts w:hint="eastAsia"/>
          <w:color w:val="000000"/>
          <w:lang w:val="en-US" w:eastAsia="zh-CN"/>
        </w:rPr>
      </w:pPr>
    </w:p>
    <w:p w14:paraId="49FA0FA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73A3034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study item is to study the charging aspects of </w:t>
      </w:r>
      <w:r>
        <w:rPr>
          <w:rFonts w:hint="eastAsia" w:eastAsiaTheme="minorEastAsia"/>
          <w:lang w:eastAsia="zh-CN"/>
        </w:rPr>
        <w:t>Ambient IoT</w:t>
      </w:r>
      <w:r>
        <w:rPr>
          <w:rFonts w:eastAsiaTheme="minorEastAsia"/>
          <w:lang w:eastAsia="zh-CN"/>
        </w:rPr>
        <w:t>, including:</w:t>
      </w:r>
    </w:p>
    <w:p w14:paraId="4F5B9CE3">
      <w:pPr>
        <w:overflowPunct w:val="0"/>
        <w:autoSpaceDE w:val="0"/>
        <w:autoSpaceDN w:val="0"/>
        <w:adjustRightInd w:val="0"/>
        <w:spacing w:after="180"/>
        <w:ind w:left="630" w:hanging="270"/>
        <w:textAlignment w:val="baseline"/>
        <w:rPr>
          <w:rFonts w:hint="eastAsia"/>
          <w:color w:val="000000"/>
          <w:lang w:val="en-US" w:eastAsia="zh-CN"/>
        </w:rPr>
      </w:pPr>
      <w:r>
        <w:rPr>
          <w:b/>
          <w:color w:val="000000"/>
          <w:lang w:eastAsia="zh-CN"/>
        </w:rPr>
        <w:t>WT-1:</w:t>
      </w:r>
      <w:r>
        <w:rPr>
          <w:color w:val="000000"/>
          <w:lang w:eastAsia="zh-CN"/>
        </w:rPr>
        <w:t xml:space="preserve"> </w:t>
      </w:r>
      <w:r>
        <w:rPr>
          <w:color w:val="000000"/>
          <w:lang w:eastAsia="ja-JP"/>
        </w:rPr>
        <w:t xml:space="preserve">Identify </w:t>
      </w:r>
      <w:r>
        <w:rPr>
          <w:rFonts w:hint="eastAsia" w:eastAsia="宋体"/>
          <w:color w:val="000000"/>
          <w:lang w:val="en-US" w:eastAsia="zh-CN"/>
        </w:rPr>
        <w:t xml:space="preserve">potential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 including:</w:t>
      </w:r>
    </w:p>
    <w:p w14:paraId="7B31DE18">
      <w:pPr>
        <w:overflowPunct w:val="0"/>
        <w:autoSpaceDE w:val="0"/>
        <w:autoSpaceDN w:val="0"/>
        <w:adjustRightInd w:val="0"/>
        <w:spacing w:after="180"/>
        <w:ind w:left="630" w:firstLine="0" w:firstLineChars="0"/>
        <w:textAlignment w:val="baseline"/>
        <w:rPr>
          <w:rFonts w:hint="eastAsia"/>
          <w:color w:val="000000"/>
          <w:lang w:val="en-US" w:eastAsia="zh-CN"/>
        </w:rPr>
      </w:pPr>
      <w:r>
        <w:rPr>
          <w:rFonts w:hint="eastAsia"/>
          <w:color w:val="000000"/>
          <w:lang w:val="en-US" w:eastAsia="zh-CN"/>
        </w:rPr>
        <w:t>- one-time purchase or subscription-based option for third party to provide the Ambient IoT infrastructure</w:t>
      </w:r>
    </w:p>
    <w:p w14:paraId="1423FDE8">
      <w:pPr>
        <w:overflowPunct w:val="0"/>
        <w:autoSpaceDE w:val="0"/>
        <w:autoSpaceDN w:val="0"/>
        <w:adjustRightInd w:val="0"/>
        <w:spacing w:after="180"/>
        <w:ind w:left="630" w:firstLine="0" w:firstLineChars="0"/>
        <w:textAlignment w:val="baseline"/>
        <w:rPr>
          <w:rFonts w:hint="default" w:eastAsia="宋体"/>
          <w:color w:val="000000"/>
          <w:lang w:val="en-US" w:eastAsia="zh-CN"/>
        </w:rPr>
      </w:pPr>
      <w:r>
        <w:rPr>
          <w:rFonts w:hint="eastAsia" w:eastAsia="宋体"/>
          <w:color w:val="000000"/>
          <w:lang w:val="en-US" w:eastAsia="zh-CN"/>
        </w:rPr>
        <w:t>- charging for managing Ambient IoT devices,e.g.,  DO-A capable Ambient IoT devices</w:t>
      </w:r>
    </w:p>
    <w:p w14:paraId="0B91E6B9">
      <w:pPr>
        <w:overflowPunct w:val="0"/>
        <w:autoSpaceDE w:val="0"/>
        <w:autoSpaceDN w:val="0"/>
        <w:adjustRightInd w:val="0"/>
        <w:spacing w:after="180"/>
        <w:ind w:left="630" w:firstLine="0" w:firstLineChars="0"/>
        <w:textAlignment w:val="baseline"/>
        <w:rPr>
          <w:rFonts w:hint="eastAsia" w:eastAsia="宋体"/>
          <w:color w:val="000000"/>
          <w:lang w:val="en-US" w:eastAsia="zh-CN"/>
        </w:rPr>
      </w:pPr>
      <w:r>
        <w:rPr>
          <w:rFonts w:hint="eastAsia" w:eastAsia="宋体"/>
          <w:color w:val="000000"/>
          <w:lang w:val="en-US" w:eastAsia="zh-CN"/>
        </w:rPr>
        <w:t>- charging for managing Ambient IoT capable UE readers</w:t>
      </w:r>
    </w:p>
    <w:p w14:paraId="11A77075">
      <w:pPr>
        <w:overflowPunct w:val="0"/>
        <w:autoSpaceDE w:val="0"/>
        <w:autoSpaceDN w:val="0"/>
        <w:adjustRightInd w:val="0"/>
        <w:spacing w:after="180"/>
        <w:ind w:left="630" w:hanging="270"/>
        <w:textAlignment w:val="baseline"/>
        <w:rPr>
          <w:color w:val="000000"/>
          <w:lang w:eastAsia="ja-JP"/>
        </w:rPr>
      </w:pPr>
      <w:r>
        <w:rPr>
          <w:b/>
          <w:color w:val="000000"/>
          <w:lang w:eastAsia="zh-CN"/>
        </w:rPr>
        <w:t>WT-2:</w:t>
      </w:r>
      <w:r>
        <w:rPr>
          <w:color w:val="000000"/>
          <w:lang w:eastAsia="zh-CN"/>
        </w:rPr>
        <w:t xml:space="preserve"> </w:t>
      </w:r>
      <w:r>
        <w:rPr>
          <w:color w:val="000000"/>
          <w:lang w:eastAsia="ja-JP"/>
        </w:rPr>
        <w:t>Identify charging scenarios</w:t>
      </w:r>
      <w:r>
        <w:rPr>
          <w:rFonts w:eastAsia="宋体"/>
          <w:color w:val="000000"/>
          <w:lang w:eastAsia="zh-CN"/>
        </w:rPr>
        <w:t xml:space="preserve"> </w:t>
      </w:r>
      <w:r>
        <w:rPr>
          <w:color w:val="000000"/>
          <w:lang w:eastAsia="ja-JP"/>
        </w:rPr>
        <w:t xml:space="preserve">and potential charging requirements for supporting </w:t>
      </w:r>
      <w:r>
        <w:rPr>
          <w:rFonts w:hint="eastAsia"/>
          <w:color w:val="000000"/>
          <w:lang w:eastAsia="zh-CN"/>
        </w:rPr>
        <w:t>Ambient IoT</w:t>
      </w:r>
      <w:r>
        <w:rPr>
          <w:rFonts w:hint="eastAsia"/>
          <w:color w:val="000000"/>
          <w:lang w:val="en-US" w:eastAsia="zh-CN"/>
        </w:rPr>
        <w:t>, alignment with SA2 System Architecture and Services</w:t>
      </w:r>
      <w:r>
        <w:rPr>
          <w:color w:val="000000"/>
          <w:lang w:eastAsia="ja-JP"/>
        </w:rPr>
        <w:t>;</w:t>
      </w:r>
    </w:p>
    <w:p w14:paraId="117A11F7">
      <w:pPr>
        <w:overflowPunct w:val="0"/>
        <w:autoSpaceDE w:val="0"/>
        <w:autoSpaceDN w:val="0"/>
        <w:adjustRightInd w:val="0"/>
        <w:spacing w:after="180"/>
        <w:ind w:left="630" w:hanging="270"/>
        <w:textAlignment w:val="baseline"/>
        <w:rPr>
          <w:color w:val="000000"/>
          <w:lang w:eastAsia="ja-JP"/>
        </w:rPr>
      </w:pPr>
      <w:r>
        <w:rPr>
          <w:b/>
          <w:color w:val="000000"/>
          <w:lang w:eastAsia="zh-CN"/>
        </w:rPr>
        <w:t>WT-3:</w:t>
      </w:r>
      <w:r>
        <w:rPr>
          <w:color w:val="000000"/>
          <w:lang w:eastAsia="zh-CN"/>
        </w:rPr>
        <w:t xml:space="preserve"> Investigate the</w:t>
      </w:r>
      <w:r>
        <w:rPr>
          <w:color w:val="000000"/>
          <w:lang w:eastAsia="ja-JP"/>
        </w:rPr>
        <w:t xml:space="preserve"> potential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613F080E">
      <w:pPr>
        <w:pStyle w:val="24"/>
        <w:rPr>
          <w:rFonts w:hint="eastAsia" w:eastAsia="宋体"/>
          <w:i w:val="0"/>
          <w:iCs/>
          <w:lang w:val="en-US" w:eastAsia="zh-CN"/>
        </w:rPr>
      </w:pPr>
    </w:p>
    <w:p w14:paraId="3C061835">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3DA5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413" w:type="dxa"/>
            <w:gridSpan w:val="6"/>
            <w:shd w:val="clear" w:color="auto" w:fill="D9D9D9"/>
            <w:tcMar>
              <w:left w:w="57" w:type="dxa"/>
              <w:right w:w="57" w:type="dxa"/>
            </w:tcMar>
          </w:tcPr>
          <w:p w14:paraId="341366E8">
            <w:pPr>
              <w:pStyle w:val="27"/>
            </w:pPr>
            <w:r>
              <w:t>New specifications {One line per specification. Create/delete lines as needed}</w:t>
            </w:r>
          </w:p>
        </w:tc>
      </w:tr>
      <w:tr w14:paraId="057E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F7AD5F6">
            <w:pPr>
              <w:pStyle w:val="27"/>
            </w:pPr>
            <w:r>
              <w:t xml:space="preserve">Type </w:t>
            </w:r>
          </w:p>
        </w:tc>
        <w:tc>
          <w:tcPr>
            <w:tcW w:w="1134" w:type="dxa"/>
            <w:shd w:val="clear" w:color="auto" w:fill="D9D9D9"/>
            <w:tcMar>
              <w:left w:w="57" w:type="dxa"/>
              <w:right w:w="57" w:type="dxa"/>
            </w:tcMar>
          </w:tcPr>
          <w:p w14:paraId="490A4073">
            <w:pPr>
              <w:pStyle w:val="27"/>
            </w:pPr>
            <w:r>
              <w:t>TS/TR number</w:t>
            </w:r>
          </w:p>
        </w:tc>
        <w:tc>
          <w:tcPr>
            <w:tcW w:w="2409" w:type="dxa"/>
            <w:shd w:val="clear" w:color="auto" w:fill="D9D9D9"/>
            <w:tcMar>
              <w:left w:w="57" w:type="dxa"/>
              <w:right w:w="57" w:type="dxa"/>
            </w:tcMar>
          </w:tcPr>
          <w:p w14:paraId="2DED00B3">
            <w:pPr>
              <w:pStyle w:val="27"/>
            </w:pPr>
            <w:r>
              <w:t>Title</w:t>
            </w:r>
          </w:p>
        </w:tc>
        <w:tc>
          <w:tcPr>
            <w:tcW w:w="993" w:type="dxa"/>
            <w:shd w:val="clear" w:color="auto" w:fill="D9D9D9"/>
            <w:tcMar>
              <w:left w:w="57" w:type="dxa"/>
              <w:right w:w="57" w:type="dxa"/>
            </w:tcMar>
          </w:tcPr>
          <w:p w14:paraId="66D91ECB">
            <w:pPr>
              <w:pStyle w:val="27"/>
            </w:pPr>
            <w:r>
              <w:t xml:space="preserve">For info </w:t>
            </w:r>
            <w:r>
              <w:br w:type="textWrapping"/>
            </w:r>
            <w:r>
              <w:t xml:space="preserve">at TSG# </w:t>
            </w:r>
          </w:p>
        </w:tc>
        <w:tc>
          <w:tcPr>
            <w:tcW w:w="1074" w:type="dxa"/>
            <w:shd w:val="clear" w:color="auto" w:fill="D9D9D9"/>
            <w:tcMar>
              <w:left w:w="57" w:type="dxa"/>
              <w:right w:w="57" w:type="dxa"/>
            </w:tcMar>
          </w:tcPr>
          <w:p w14:paraId="4CC5728F">
            <w:pPr>
              <w:pStyle w:val="27"/>
            </w:pPr>
            <w:r>
              <w:t>For approval at TSG#</w:t>
            </w:r>
          </w:p>
        </w:tc>
        <w:tc>
          <w:tcPr>
            <w:tcW w:w="2186" w:type="dxa"/>
            <w:shd w:val="clear" w:color="auto" w:fill="D9D9D9"/>
            <w:tcMar>
              <w:left w:w="57" w:type="dxa"/>
              <w:right w:w="57" w:type="dxa"/>
            </w:tcMar>
          </w:tcPr>
          <w:p w14:paraId="4BFED4F8">
            <w:pPr>
              <w:pStyle w:val="27"/>
            </w:pPr>
            <w:r>
              <w:t>Rapporteur</w:t>
            </w:r>
          </w:p>
        </w:tc>
      </w:tr>
      <w:tr w14:paraId="64098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802F9E">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3B5E2997">
            <w:pPr>
              <w:pStyle w:val="24"/>
              <w:spacing w:after="0"/>
              <w:rPr>
                <w:rFonts w:hint="default" w:ascii="Arial" w:hAnsi="Arial" w:eastAsia="宋体" w:cs="Arial"/>
                <w:i w:val="0"/>
                <w:color w:val="auto"/>
                <w:sz w:val="18"/>
                <w:szCs w:val="18"/>
                <w:lang w:val="en-US" w:eastAsia="zh-CN"/>
              </w:rPr>
            </w:pPr>
            <w:r>
              <w:rPr>
                <w:rFonts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xyz</w:t>
            </w:r>
          </w:p>
        </w:tc>
        <w:tc>
          <w:tcPr>
            <w:tcW w:w="2409" w:type="dxa"/>
          </w:tcPr>
          <w:p w14:paraId="2C9B8E75">
            <w:pPr>
              <w:pStyle w:val="24"/>
              <w:spacing w:after="0"/>
              <w:rPr>
                <w:rFonts w:ascii="Arial" w:hAnsi="Arial" w:eastAsia="宋体" w:cs="Arial"/>
                <w:i w:val="0"/>
                <w:color w:val="auto"/>
                <w:sz w:val="18"/>
                <w:szCs w:val="18"/>
                <w:lang w:eastAsia="zh-CN"/>
              </w:rPr>
            </w:pPr>
            <w:r>
              <w:rPr>
                <w:rFonts w:hint="eastAsia" w:ascii="Arial" w:hAnsi="Arial" w:cs="Arial"/>
                <w:i w:val="0"/>
                <w:color w:val="auto"/>
                <w:sz w:val="18"/>
                <w:szCs w:val="18"/>
                <w:lang w:eastAsia="en-GB"/>
              </w:rPr>
              <w:t>Study on charging enhancements of Ambient power-enabled Internet of Things</w:t>
            </w:r>
            <w:r>
              <w:rPr>
                <w:rFonts w:hint="eastAsia" w:ascii="Arial" w:hAnsi="Arial" w:cs="Arial"/>
                <w:i w:val="0"/>
                <w:color w:val="auto"/>
                <w:sz w:val="18"/>
                <w:szCs w:val="18"/>
                <w:lang w:eastAsia="en-GB"/>
              </w:rPr>
              <w:tab/>
            </w:r>
          </w:p>
        </w:tc>
        <w:tc>
          <w:tcPr>
            <w:tcW w:w="993" w:type="dxa"/>
          </w:tcPr>
          <w:p w14:paraId="5E4D10CD">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112</w:t>
            </w:r>
            <w:r>
              <w:rPr>
                <w:rFonts w:ascii="Arial" w:hAnsi="Arial" w:cs="Arial"/>
                <w:i w:val="0"/>
                <w:color w:val="auto"/>
                <w:sz w:val="18"/>
                <w:szCs w:val="18"/>
                <w:lang w:eastAsia="en-GB"/>
              </w:rPr>
              <w:t xml:space="preserve"> (</w:t>
            </w:r>
            <w:r>
              <w:rPr>
                <w:rFonts w:ascii="Arial" w:hAnsi="Arial" w:eastAsia="宋体" w:cs="Arial"/>
                <w:i w:val="0"/>
                <w:color w:val="auto"/>
                <w:sz w:val="18"/>
                <w:szCs w:val="18"/>
                <w:lang w:eastAsia="zh-CN"/>
              </w:rPr>
              <w:t>June</w:t>
            </w:r>
            <w:r>
              <w:rPr>
                <w:rFonts w:ascii="Arial" w:hAnsi="Arial" w:cs="Arial"/>
                <w:i w:val="0"/>
                <w:color w:val="auto"/>
                <w:sz w:val="18"/>
                <w:szCs w:val="18"/>
                <w:lang w:eastAsia="en-GB"/>
              </w:rPr>
              <w:t>. 202</w:t>
            </w:r>
            <w:r>
              <w:rPr>
                <w:rFonts w:ascii="Arial" w:hAnsi="Arial" w:eastAsia="宋体" w:cs="Arial"/>
                <w:i w:val="0"/>
                <w:color w:val="auto"/>
                <w:sz w:val="18"/>
                <w:szCs w:val="18"/>
                <w:lang w:eastAsia="zh-CN"/>
              </w:rPr>
              <w:t>6</w:t>
            </w:r>
            <w:r>
              <w:rPr>
                <w:rFonts w:ascii="Arial" w:hAnsi="Arial" w:cs="Arial"/>
                <w:i w:val="0"/>
                <w:color w:val="auto"/>
                <w:sz w:val="18"/>
                <w:szCs w:val="18"/>
                <w:lang w:eastAsia="en-GB"/>
              </w:rPr>
              <w:t>)</w:t>
            </w:r>
          </w:p>
        </w:tc>
        <w:tc>
          <w:tcPr>
            <w:tcW w:w="1074" w:type="dxa"/>
          </w:tcPr>
          <w:p w14:paraId="0C93F663">
            <w:pPr>
              <w:pStyle w:val="24"/>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hAnsi="Arial" w:eastAsia="宋体" w:cs="Arial"/>
                <w:i w:val="0"/>
                <w:color w:val="auto"/>
                <w:sz w:val="18"/>
                <w:szCs w:val="18"/>
                <w:lang w:eastAsia="zh-CN"/>
              </w:rPr>
              <w:t>112</w:t>
            </w:r>
            <w:r>
              <w:rPr>
                <w:rFonts w:ascii="Arial" w:hAnsi="Arial" w:cs="Arial"/>
                <w:i w:val="0"/>
                <w:color w:val="auto"/>
                <w:sz w:val="18"/>
                <w:szCs w:val="18"/>
                <w:lang w:eastAsia="en-GB"/>
              </w:rPr>
              <w:t xml:space="preserve"> (</w:t>
            </w:r>
            <w:r>
              <w:rPr>
                <w:rFonts w:ascii="Arial" w:hAnsi="Arial" w:eastAsia="宋体" w:cs="Arial"/>
                <w:i w:val="0"/>
                <w:color w:val="auto"/>
                <w:sz w:val="18"/>
                <w:szCs w:val="18"/>
                <w:lang w:eastAsia="zh-CN"/>
              </w:rPr>
              <w:t>June</w:t>
            </w:r>
            <w:r>
              <w:rPr>
                <w:rFonts w:ascii="Arial" w:hAnsi="Arial" w:cs="Arial"/>
                <w:i w:val="0"/>
                <w:color w:val="auto"/>
                <w:sz w:val="18"/>
                <w:szCs w:val="18"/>
                <w:lang w:eastAsia="en-GB"/>
              </w:rPr>
              <w:t>. 202</w:t>
            </w:r>
            <w:r>
              <w:rPr>
                <w:rFonts w:ascii="Arial" w:hAnsi="Arial" w:eastAsia="宋体" w:cs="Arial"/>
                <w:i w:val="0"/>
                <w:color w:val="auto"/>
                <w:sz w:val="18"/>
                <w:szCs w:val="18"/>
                <w:lang w:eastAsia="zh-CN"/>
              </w:rPr>
              <w:t>6</w:t>
            </w:r>
            <w:r>
              <w:rPr>
                <w:rFonts w:ascii="Arial" w:hAnsi="Arial" w:cs="Arial"/>
                <w:i w:val="0"/>
                <w:color w:val="auto"/>
                <w:sz w:val="18"/>
                <w:szCs w:val="18"/>
                <w:lang w:eastAsia="en-GB"/>
              </w:rPr>
              <w:t>)</w:t>
            </w:r>
          </w:p>
        </w:tc>
        <w:tc>
          <w:tcPr>
            <w:tcW w:w="2186" w:type="dxa"/>
          </w:tcPr>
          <w:p w14:paraId="2A674E26">
            <w:pPr>
              <w:pStyle w:val="24"/>
              <w:rPr>
                <w:rFonts w:ascii="Arial" w:hAnsi="Arial" w:cs="Arial"/>
                <w:i w:val="0"/>
                <w:color w:val="auto"/>
                <w:sz w:val="18"/>
                <w:szCs w:val="18"/>
                <w:lang w:eastAsia="en-GB"/>
              </w:rPr>
            </w:pPr>
          </w:p>
        </w:tc>
      </w:tr>
    </w:tbl>
    <w:p w14:paraId="49F12EB3"/>
    <w:p w14:paraId="3DE63752">
      <w:pPr>
        <w:pStyle w:val="3"/>
        <w:rPr>
          <w:rStyle w:val="17"/>
          <w:i w:val="0"/>
          <w:iCs w:val="0"/>
          <w:lang w:eastAsia="zh-CN"/>
        </w:rPr>
      </w:pPr>
      <w:r>
        <w:t>TU estimates and dependencies</w:t>
      </w:r>
      <w:r>
        <w:rPr>
          <w:rStyle w:val="17"/>
          <w:lang w:eastAsia="zh-CN"/>
        </w:rPr>
        <w:t xml:space="preserve"> </w:t>
      </w:r>
    </w:p>
    <w:p w14:paraId="19AA3FAE">
      <w:pPr>
        <w:rPr>
          <w:lang w:eastAsia="zh-CN"/>
        </w:rPr>
      </w:pPr>
    </w:p>
    <w:tbl>
      <w:tblPr>
        <w:tblStyle w:val="14"/>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76599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tcPr>
          <w:p w14:paraId="1122B322">
            <w:pPr>
              <w:rPr>
                <w:b/>
                <w:bCs/>
              </w:rPr>
            </w:pPr>
            <w:r>
              <w:rPr>
                <w:b/>
                <w:bCs/>
              </w:rPr>
              <w:t>Work Task ID</w:t>
            </w:r>
          </w:p>
        </w:tc>
        <w:tc>
          <w:tcPr>
            <w:tcW w:w="1454" w:type="dxa"/>
          </w:tcPr>
          <w:p w14:paraId="3D3E3556">
            <w:pPr>
              <w:rPr>
                <w:b/>
                <w:bCs/>
              </w:rPr>
            </w:pPr>
            <w:r>
              <w:rPr>
                <w:b/>
                <w:bCs/>
              </w:rPr>
              <w:t>TU Estimate</w:t>
            </w:r>
          </w:p>
          <w:p w14:paraId="53E75E8A">
            <w:pPr>
              <w:rPr>
                <w:b/>
                <w:bCs/>
              </w:rPr>
            </w:pPr>
            <w:r>
              <w:rPr>
                <w:b/>
                <w:bCs/>
              </w:rPr>
              <w:t>(Study)</w:t>
            </w:r>
          </w:p>
        </w:tc>
        <w:tc>
          <w:tcPr>
            <w:tcW w:w="1505" w:type="dxa"/>
          </w:tcPr>
          <w:p w14:paraId="7AACBFD3">
            <w:pPr>
              <w:rPr>
                <w:b/>
                <w:bCs/>
              </w:rPr>
            </w:pPr>
            <w:r>
              <w:rPr>
                <w:b/>
                <w:bCs/>
              </w:rPr>
              <w:t>TU Estimate</w:t>
            </w:r>
          </w:p>
          <w:p w14:paraId="3CE1E2B8">
            <w:pPr>
              <w:rPr>
                <w:b/>
                <w:bCs/>
              </w:rPr>
            </w:pPr>
            <w:r>
              <w:rPr>
                <w:b/>
                <w:bCs/>
              </w:rPr>
              <w:t>(Normative)</w:t>
            </w:r>
          </w:p>
        </w:tc>
        <w:tc>
          <w:tcPr>
            <w:tcW w:w="1800" w:type="dxa"/>
          </w:tcPr>
          <w:p w14:paraId="73D20C9A">
            <w:pPr>
              <w:rPr>
                <w:b/>
                <w:bCs/>
              </w:rPr>
            </w:pPr>
            <w:r>
              <w:rPr>
                <w:b/>
                <w:bCs/>
              </w:rPr>
              <w:t>RAN Dependency</w:t>
            </w:r>
          </w:p>
          <w:p w14:paraId="7EF806B7">
            <w:pPr>
              <w:rPr>
                <w:b/>
                <w:bCs/>
              </w:rPr>
            </w:pPr>
            <w:r>
              <w:rPr>
                <w:b/>
                <w:bCs/>
              </w:rPr>
              <w:t xml:space="preserve">(Yes/No/Maybe) </w:t>
            </w:r>
          </w:p>
        </w:tc>
        <w:tc>
          <w:tcPr>
            <w:tcW w:w="1799" w:type="dxa"/>
          </w:tcPr>
          <w:p w14:paraId="7F3B034B">
            <w:pPr>
              <w:rPr>
                <w:b/>
                <w:bCs/>
              </w:rPr>
            </w:pPr>
            <w:r>
              <w:rPr>
                <w:b/>
                <w:bCs/>
              </w:rPr>
              <w:t>SA Dependency</w:t>
            </w:r>
          </w:p>
          <w:p w14:paraId="4810BFE0">
            <w:pPr>
              <w:rPr>
                <w:b/>
                <w:bCs/>
              </w:rPr>
            </w:pPr>
            <w:r>
              <w:rPr>
                <w:b/>
                <w:bCs/>
              </w:rPr>
              <w:t>(Yes/No/Maybe)</w:t>
            </w:r>
          </w:p>
        </w:tc>
        <w:tc>
          <w:tcPr>
            <w:tcW w:w="1550" w:type="dxa"/>
          </w:tcPr>
          <w:p w14:paraId="35F9806B">
            <w:pPr>
              <w:rPr>
                <w:b/>
                <w:bCs/>
              </w:rPr>
            </w:pPr>
            <w:r>
              <w:rPr>
                <w:b/>
                <w:bCs/>
              </w:rPr>
              <w:t>Non-3GPP Dependency</w:t>
            </w:r>
          </w:p>
        </w:tc>
      </w:tr>
      <w:tr w14:paraId="313B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1970FA27">
            <w:pPr>
              <w:rPr>
                <w:lang w:eastAsia="zh-CN"/>
              </w:rPr>
            </w:pPr>
            <w:r>
              <w:rPr>
                <w:lang w:eastAsia="zh-CN"/>
              </w:rPr>
              <w:t>WT-1</w:t>
            </w:r>
          </w:p>
        </w:tc>
        <w:tc>
          <w:tcPr>
            <w:tcW w:w="1454" w:type="dxa"/>
          </w:tcPr>
          <w:p w14:paraId="1C664B27">
            <w:pPr>
              <w:rPr>
                <w:rFonts w:hint="default"/>
                <w:lang w:val="en-US" w:eastAsia="zh-CN"/>
              </w:rPr>
            </w:pPr>
            <w:r>
              <w:rPr>
                <w:rFonts w:hint="eastAsia"/>
                <w:lang w:val="en-US" w:eastAsia="zh-CN"/>
              </w:rPr>
              <w:t>0.5</w:t>
            </w:r>
          </w:p>
        </w:tc>
        <w:tc>
          <w:tcPr>
            <w:tcW w:w="1505" w:type="dxa"/>
          </w:tcPr>
          <w:p w14:paraId="6F0953D8">
            <w:pPr>
              <w:rPr>
                <w:rFonts w:hint="default"/>
                <w:lang w:val="en-US" w:eastAsia="zh-CN"/>
              </w:rPr>
            </w:pPr>
            <w:r>
              <w:rPr>
                <w:rFonts w:hint="eastAsia"/>
                <w:lang w:val="en-US" w:eastAsia="zh-CN"/>
              </w:rPr>
              <w:t>0.5</w:t>
            </w:r>
          </w:p>
        </w:tc>
        <w:tc>
          <w:tcPr>
            <w:tcW w:w="1800" w:type="dxa"/>
          </w:tcPr>
          <w:p w14:paraId="336D7E27">
            <w:pPr>
              <w:rPr>
                <w:lang w:eastAsia="zh-CN"/>
              </w:rPr>
            </w:pPr>
            <w:r>
              <w:rPr>
                <w:lang w:eastAsia="zh-CN"/>
              </w:rPr>
              <w:t>No</w:t>
            </w:r>
          </w:p>
        </w:tc>
        <w:tc>
          <w:tcPr>
            <w:tcW w:w="1799" w:type="dxa"/>
          </w:tcPr>
          <w:p w14:paraId="121B7083">
            <w:pPr>
              <w:rPr>
                <w:rFonts w:eastAsia="宋体"/>
                <w:lang w:eastAsia="zh-CN"/>
              </w:rPr>
            </w:pPr>
            <w:r>
              <w:rPr>
                <w:lang w:eastAsia="zh-CN"/>
              </w:rPr>
              <w:t>Maybe</w:t>
            </w:r>
          </w:p>
        </w:tc>
        <w:tc>
          <w:tcPr>
            <w:tcW w:w="1550" w:type="dxa"/>
          </w:tcPr>
          <w:p w14:paraId="45921B4F">
            <w:pPr>
              <w:rPr>
                <w:lang w:eastAsia="zh-CN"/>
              </w:rPr>
            </w:pPr>
            <w:r>
              <w:rPr>
                <w:lang w:eastAsia="zh-CN"/>
              </w:rPr>
              <w:t>No</w:t>
            </w:r>
          </w:p>
        </w:tc>
      </w:tr>
      <w:tr w14:paraId="58A5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1525" w:type="dxa"/>
          </w:tcPr>
          <w:p w14:paraId="24E3D699">
            <w:r>
              <w:rPr>
                <w:lang w:eastAsia="zh-CN"/>
              </w:rPr>
              <w:t>WT-2</w:t>
            </w:r>
          </w:p>
        </w:tc>
        <w:tc>
          <w:tcPr>
            <w:tcW w:w="1454" w:type="dxa"/>
          </w:tcPr>
          <w:p w14:paraId="52036C68">
            <w:pPr>
              <w:rPr>
                <w:rFonts w:hint="default"/>
                <w:lang w:val="en-US" w:eastAsia="zh-CN"/>
              </w:rPr>
            </w:pPr>
            <w:r>
              <w:rPr>
                <w:rFonts w:hint="eastAsia"/>
                <w:lang w:val="en-US" w:eastAsia="zh-CN"/>
              </w:rPr>
              <w:t>0.5</w:t>
            </w:r>
          </w:p>
        </w:tc>
        <w:tc>
          <w:tcPr>
            <w:tcW w:w="1505" w:type="dxa"/>
          </w:tcPr>
          <w:p w14:paraId="0B06325E">
            <w:pPr>
              <w:rPr>
                <w:rFonts w:hint="default"/>
                <w:lang w:val="en-US" w:eastAsia="zh-CN"/>
              </w:rPr>
            </w:pPr>
            <w:r>
              <w:rPr>
                <w:rFonts w:hint="eastAsia"/>
                <w:lang w:val="en-US" w:eastAsia="zh-CN"/>
              </w:rPr>
              <w:t>0.5</w:t>
            </w:r>
          </w:p>
        </w:tc>
        <w:tc>
          <w:tcPr>
            <w:tcW w:w="1800" w:type="dxa"/>
          </w:tcPr>
          <w:p w14:paraId="293CDE60">
            <w:pPr>
              <w:rPr>
                <w:rFonts w:eastAsia="宋体"/>
                <w:lang w:eastAsia="zh-CN"/>
              </w:rPr>
            </w:pPr>
            <w:r>
              <w:rPr>
                <w:rFonts w:eastAsia="宋体"/>
                <w:lang w:eastAsia="zh-CN"/>
              </w:rPr>
              <w:t>No</w:t>
            </w:r>
          </w:p>
        </w:tc>
        <w:tc>
          <w:tcPr>
            <w:tcW w:w="1799" w:type="dxa"/>
          </w:tcPr>
          <w:p w14:paraId="15D99466">
            <w:pPr>
              <w:rPr>
                <w:rFonts w:eastAsia="宋体"/>
                <w:lang w:eastAsia="zh-CN"/>
              </w:rPr>
            </w:pPr>
            <w:r>
              <w:rPr>
                <w:lang w:eastAsia="zh-CN"/>
              </w:rPr>
              <w:t>Maybe</w:t>
            </w:r>
          </w:p>
        </w:tc>
        <w:tc>
          <w:tcPr>
            <w:tcW w:w="1550" w:type="dxa"/>
          </w:tcPr>
          <w:p w14:paraId="56269F33">
            <w:r>
              <w:t>No</w:t>
            </w:r>
          </w:p>
        </w:tc>
      </w:tr>
      <w:tr w14:paraId="268AF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14:paraId="79A7E59C">
            <w:pPr>
              <w:rPr>
                <w:lang w:eastAsia="zh-CN"/>
              </w:rPr>
            </w:pPr>
            <w:r>
              <w:rPr>
                <w:lang w:eastAsia="zh-CN"/>
              </w:rPr>
              <w:t>WT-3</w:t>
            </w:r>
          </w:p>
        </w:tc>
        <w:tc>
          <w:tcPr>
            <w:tcW w:w="1454" w:type="dxa"/>
          </w:tcPr>
          <w:p w14:paraId="33693EDB">
            <w:pPr>
              <w:rPr>
                <w:lang w:eastAsia="zh-CN"/>
              </w:rPr>
            </w:pPr>
            <w:r>
              <w:rPr>
                <w:rFonts w:hint="eastAsia"/>
                <w:lang w:val="en-US" w:eastAsia="zh-CN"/>
              </w:rPr>
              <w:t>1</w:t>
            </w:r>
          </w:p>
        </w:tc>
        <w:tc>
          <w:tcPr>
            <w:tcW w:w="1505" w:type="dxa"/>
          </w:tcPr>
          <w:p w14:paraId="51257363">
            <w:pPr>
              <w:rPr>
                <w:lang w:eastAsia="zh-CN"/>
              </w:rPr>
            </w:pPr>
            <w:r>
              <w:rPr>
                <w:rFonts w:hint="eastAsia"/>
                <w:lang w:val="en-US" w:eastAsia="zh-CN"/>
              </w:rPr>
              <w:t>1</w:t>
            </w:r>
          </w:p>
        </w:tc>
        <w:tc>
          <w:tcPr>
            <w:tcW w:w="1800" w:type="dxa"/>
          </w:tcPr>
          <w:p w14:paraId="05172C06">
            <w:pPr>
              <w:rPr>
                <w:rFonts w:eastAsia="宋体"/>
                <w:lang w:eastAsia="zh-CN"/>
              </w:rPr>
            </w:pPr>
            <w:r>
              <w:rPr>
                <w:rFonts w:eastAsia="宋体"/>
                <w:lang w:eastAsia="zh-CN"/>
              </w:rPr>
              <w:t>No</w:t>
            </w:r>
          </w:p>
        </w:tc>
        <w:tc>
          <w:tcPr>
            <w:tcW w:w="1799" w:type="dxa"/>
          </w:tcPr>
          <w:p w14:paraId="5E009A78">
            <w:pPr>
              <w:rPr>
                <w:rFonts w:eastAsia="宋体"/>
                <w:lang w:eastAsia="zh-CN"/>
              </w:rPr>
            </w:pPr>
            <w:r>
              <w:rPr>
                <w:lang w:eastAsia="zh-CN"/>
              </w:rPr>
              <w:t>Maybe</w:t>
            </w:r>
          </w:p>
        </w:tc>
        <w:tc>
          <w:tcPr>
            <w:tcW w:w="1550" w:type="dxa"/>
          </w:tcPr>
          <w:p w14:paraId="2B8284FA">
            <w:r>
              <w:t>No</w:t>
            </w:r>
          </w:p>
        </w:tc>
      </w:tr>
    </w:tbl>
    <w:p w14:paraId="3601379D"/>
    <w:p w14:paraId="1AA28AC6">
      <w:pPr>
        <w:rPr>
          <w:rFonts w:eastAsia="宋体"/>
          <w:b/>
          <w:bCs/>
          <w:lang w:eastAsia="zh-CN"/>
        </w:rPr>
      </w:pPr>
      <w:r>
        <w:rPr>
          <w:b/>
          <w:bCs/>
        </w:rPr>
        <w:t xml:space="preserve">Total TU estimates for the study phase: </w:t>
      </w:r>
      <w:r>
        <w:rPr>
          <w:rFonts w:hint="eastAsia" w:eastAsia="宋体"/>
          <w:b/>
          <w:bCs/>
          <w:lang w:val="en-US" w:eastAsia="zh-CN"/>
        </w:rPr>
        <w:t>2</w:t>
      </w:r>
    </w:p>
    <w:p w14:paraId="72F52709">
      <w:pPr>
        <w:rPr>
          <w:rFonts w:eastAsia="宋体"/>
          <w:b/>
          <w:bCs/>
          <w:lang w:eastAsia="zh-CN"/>
        </w:rPr>
      </w:pPr>
      <w:r>
        <w:rPr>
          <w:b/>
          <w:bCs/>
        </w:rPr>
        <w:t xml:space="preserve">Total TU estimates for the normative phase: </w:t>
      </w:r>
      <w:r>
        <w:rPr>
          <w:rFonts w:hint="eastAsia" w:eastAsia="宋体"/>
          <w:b/>
          <w:bCs/>
          <w:lang w:val="en-US" w:eastAsia="zh-CN"/>
        </w:rPr>
        <w:t>2</w:t>
      </w:r>
    </w:p>
    <w:p w14:paraId="02588A85">
      <w:pPr>
        <w:rPr>
          <w:rFonts w:eastAsia="宋体"/>
          <w:b/>
          <w:bCs/>
          <w:lang w:eastAsia="zh-CN"/>
        </w:rPr>
      </w:pPr>
      <w:r>
        <w:rPr>
          <w:b/>
          <w:bCs/>
        </w:rPr>
        <w:t xml:space="preserve">Total TU estimates: </w:t>
      </w:r>
      <w:r>
        <w:rPr>
          <w:rFonts w:hint="eastAsia" w:eastAsia="宋体"/>
          <w:b/>
          <w:bCs/>
          <w:lang w:val="en-US" w:eastAsia="zh-CN"/>
        </w:rPr>
        <w:t>4</w:t>
      </w:r>
    </w:p>
    <w:p w14:paraId="439D1CE5"/>
    <w:p w14:paraId="48FA89B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F6B23D1"/>
    <w:p w14:paraId="672434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CF2EC14">
      <w:pPr>
        <w:rPr>
          <w:rFonts w:eastAsiaTheme="minorEastAsia"/>
          <w:lang w:eastAsia="zh-CN"/>
        </w:rPr>
      </w:pPr>
      <w:r>
        <w:rPr>
          <w:rFonts w:hint="eastAsia" w:eastAsiaTheme="minorEastAsia"/>
          <w:lang w:eastAsia="zh-CN"/>
        </w:rPr>
        <w:t>SA5</w:t>
      </w:r>
    </w:p>
    <w:p w14:paraId="733AE78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0DB48DED">
      <w:pPr>
        <w:rPr>
          <w:rFonts w:eastAsiaTheme="minorEastAsia"/>
          <w:lang w:eastAsia="zh-CN"/>
        </w:rPr>
      </w:pPr>
      <w:r>
        <w:rPr>
          <w:rFonts w:hint="eastAsia" w:eastAsiaTheme="minorEastAsia"/>
          <w:lang w:eastAsia="zh-CN"/>
        </w:rPr>
        <w:t>Coordination with SA1 and SA2</w:t>
      </w:r>
    </w:p>
    <w:p w14:paraId="720531C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521D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344BAA89">
            <w:pPr>
              <w:pStyle w:val="27"/>
            </w:pPr>
            <w:r>
              <w:t>Supporting IM name</w:t>
            </w:r>
          </w:p>
        </w:tc>
      </w:tr>
      <w:tr w14:paraId="64169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502029F">
            <w:pPr>
              <w:pStyle w:val="26"/>
              <w:rPr>
                <w:rFonts w:eastAsiaTheme="minorEastAsia"/>
                <w:lang w:eastAsia="zh-CN"/>
              </w:rPr>
            </w:pPr>
            <w:r>
              <w:rPr>
                <w:rFonts w:hint="eastAsia" w:eastAsiaTheme="minorEastAsia"/>
                <w:lang w:eastAsia="zh-CN"/>
              </w:rPr>
              <w:t>China Unicom</w:t>
            </w:r>
          </w:p>
        </w:tc>
      </w:tr>
      <w:tr w14:paraId="10E9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11A57054">
            <w:pPr>
              <w:pStyle w:val="26"/>
              <w:rPr>
                <w:rFonts w:hint="default" w:eastAsia="宋体"/>
                <w:lang w:val="en-US" w:eastAsia="zh-CN"/>
              </w:rPr>
            </w:pPr>
          </w:p>
        </w:tc>
      </w:tr>
      <w:tr w14:paraId="4120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2B2DF21">
            <w:pPr>
              <w:pStyle w:val="26"/>
            </w:pPr>
          </w:p>
        </w:tc>
      </w:tr>
      <w:tr w14:paraId="411F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120FE0D">
            <w:pPr>
              <w:pStyle w:val="26"/>
            </w:pPr>
          </w:p>
        </w:tc>
      </w:tr>
      <w:tr w14:paraId="2CF0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6E7AE355">
            <w:pPr>
              <w:pStyle w:val="26"/>
            </w:pPr>
          </w:p>
        </w:tc>
      </w:tr>
      <w:tr w14:paraId="25CF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Pr>
          <w:p w14:paraId="20904D36">
            <w:pPr>
              <w:pStyle w:val="26"/>
            </w:pPr>
          </w:p>
        </w:tc>
      </w:tr>
    </w:tbl>
    <w:p w14:paraId="62AB642A"/>
    <w:p w14:paraId="1582F7DA"/>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0AA2"/>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2F34"/>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0554"/>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5C"/>
    <w:rsid w:val="005115B8"/>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E24BD"/>
    <w:rsid w:val="007E5A54"/>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6791"/>
    <w:rsid w:val="0093661C"/>
    <w:rsid w:val="00940736"/>
    <w:rsid w:val="00941253"/>
    <w:rsid w:val="0095038B"/>
    <w:rsid w:val="00950CF7"/>
    <w:rsid w:val="00951C55"/>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E4C7C"/>
    <w:rsid w:val="00BF0A84"/>
    <w:rsid w:val="00BF4326"/>
    <w:rsid w:val="00BF6847"/>
    <w:rsid w:val="00C02787"/>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5D2F"/>
    <w:rsid w:val="00EC001A"/>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C643D"/>
    <w:rsid w:val="00FD1DAF"/>
    <w:rsid w:val="00FE3DCC"/>
    <w:rsid w:val="00FE53C8"/>
    <w:rsid w:val="00FE5FB7"/>
    <w:rsid w:val="02054F52"/>
    <w:rsid w:val="09455E18"/>
    <w:rsid w:val="09664528"/>
    <w:rsid w:val="0C0F534B"/>
    <w:rsid w:val="138C7281"/>
    <w:rsid w:val="25F823B3"/>
    <w:rsid w:val="278B4CC4"/>
    <w:rsid w:val="2AEC5305"/>
    <w:rsid w:val="2E1D73B4"/>
    <w:rsid w:val="2E512B82"/>
    <w:rsid w:val="35404423"/>
    <w:rsid w:val="42180D3C"/>
    <w:rsid w:val="49956E14"/>
    <w:rsid w:val="4BCA7960"/>
    <w:rsid w:val="4F09679D"/>
    <w:rsid w:val="58A41F44"/>
    <w:rsid w:val="612D154E"/>
    <w:rsid w:val="620F67EC"/>
    <w:rsid w:val="621F0922"/>
    <w:rsid w:val="669C425A"/>
    <w:rsid w:val="6AAC6358"/>
    <w:rsid w:val="6C481768"/>
    <w:rsid w:val="6C6D5692"/>
    <w:rsid w:val="6F500083"/>
    <w:rsid w:val="7080699B"/>
    <w:rsid w:val="74055E23"/>
    <w:rsid w:val="760A6889"/>
    <w:rsid w:val="78700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修订1"/>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页眉 字符"/>
    <w:link w:val="11"/>
    <w:qFormat/>
    <w:uiPriority w:val="0"/>
    <w:rPr>
      <w:lang w:eastAsia="en-US"/>
    </w:rPr>
  </w:style>
  <w:style w:type="paragraph" w:customStyle="1" w:styleId="33">
    <w:name w:val="NO"/>
    <w:basedOn w:val="1"/>
    <w:qFormat/>
    <w:uiPriority w:val="0"/>
    <w:pPr>
      <w:keepLines/>
      <w:ind w:left="1135"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836</Words>
  <Characters>4559</Characters>
  <Lines>36</Lines>
  <Paragraphs>10</Paragraphs>
  <TotalTime>100</TotalTime>
  <ScaleCrop>false</ScaleCrop>
  <LinksUpToDate>false</LinksUpToDate>
  <CharactersWithSpaces>5311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肖天</cp:lastModifiedBy>
  <cp:lastPrinted>2001-04-23T09:30:00Z</cp:lastPrinted>
  <dcterms:modified xsi:type="dcterms:W3CDTF">2026-01-30T11:20:10Z</dcterms:modified>
  <dc:title>Source: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2052-12.1.0.24657</vt:lpwstr>
  </property>
  <property fmtid="{D5CDD505-2E9C-101B-9397-08002B2CF9AE}" pid="4" name="ICV">
    <vt:lpwstr>AFB6CB9C2B064610B552C35FC69CD198</vt:lpwstr>
  </property>
  <property fmtid="{D5CDD505-2E9C-101B-9397-08002B2CF9AE}" pid="5" name="KSOTemplateDocerSaveRecord">
    <vt:lpwstr>eyJoZGlkIjoiZmM3ODY1M2ExZGRkNjk1MWFjNTk2NDZmNDJlY2JlZGUiLCJ1c2VySWQiOiI5ODA2MjY5NzgifQ==</vt:lpwstr>
  </property>
</Properties>
</file>